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b/>
          <w:szCs w:val="21"/>
        </w:rPr>
      </w:pPr>
      <w:r>
        <w:rPr>
          <w:rFonts w:hint="eastAsia" w:ascii="黑体" w:hAnsi="黑体" w:eastAsia="黑体"/>
          <w:b/>
          <w:szCs w:val="21"/>
        </w:rPr>
        <w:t>二、单选题</w:t>
      </w:r>
    </w:p>
    <w:p>
      <w:pPr>
        <w:pStyle w:val="9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</w:rPr>
        <w:t>依据《玻璃纤维增强塑料渔船建造规范（2019）》，玻璃钢试板经</w:t>
      </w:r>
      <w:r>
        <w:rPr>
          <w:szCs w:val="21"/>
        </w:rPr>
        <w:t>2h</w:t>
      </w:r>
      <w:r>
        <w:rPr>
          <w:rFonts w:hint="eastAsia"/>
          <w:szCs w:val="21"/>
        </w:rPr>
        <w:t>沸水浸泡后，其湿态弯曲强度保留率应不小于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。</w:t>
      </w:r>
    </w:p>
    <w:p>
      <w:pPr>
        <w:ind w:left="424" w:leftChars="202"/>
        <w:rPr>
          <w:szCs w:val="21"/>
        </w:rPr>
      </w:pPr>
      <w:r>
        <w:rPr>
          <w:szCs w:val="21"/>
        </w:rPr>
        <w:t>A 75%</w:t>
      </w:r>
    </w:p>
    <w:p>
      <w:pPr>
        <w:ind w:left="424" w:leftChars="202"/>
        <w:rPr>
          <w:szCs w:val="21"/>
        </w:rPr>
      </w:pPr>
      <w:r>
        <w:rPr>
          <w:szCs w:val="21"/>
        </w:rPr>
        <w:t>B 80</w:t>
      </w:r>
      <w:r>
        <w:rPr>
          <w:szCs w:val="21"/>
        </w:rPr>
        <w:tab/>
      </w:r>
      <w:r>
        <w:rPr>
          <w:szCs w:val="21"/>
        </w:rPr>
        <w:t>%</w:t>
      </w:r>
    </w:p>
    <w:p>
      <w:pPr>
        <w:ind w:left="424" w:leftChars="202"/>
        <w:rPr>
          <w:szCs w:val="21"/>
        </w:rPr>
      </w:pPr>
      <w:r>
        <w:rPr>
          <w:szCs w:val="21"/>
        </w:rPr>
        <w:t>C 85</w:t>
      </w:r>
      <w:r>
        <w:rPr>
          <w:szCs w:val="21"/>
        </w:rPr>
        <w:tab/>
      </w:r>
      <w:r>
        <w:rPr>
          <w:szCs w:val="21"/>
        </w:rPr>
        <w:t>%</w:t>
      </w:r>
    </w:p>
    <w:p>
      <w:pPr>
        <w:ind w:left="424" w:leftChars="202"/>
        <w:rPr>
          <w:rFonts w:eastAsia="等线"/>
          <w:szCs w:val="21"/>
        </w:rPr>
      </w:pPr>
      <w:r>
        <w:rPr>
          <w:szCs w:val="21"/>
        </w:rPr>
        <w:t>D 90</w:t>
      </w:r>
      <w:r>
        <w:rPr>
          <w:szCs w:val="21"/>
        </w:rPr>
        <w:tab/>
      </w:r>
      <w:r>
        <w:rPr>
          <w:szCs w:val="21"/>
        </w:rPr>
        <w:t>%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答案：B</w:t>
      </w:r>
    </w:p>
    <w:p>
      <w:pPr>
        <w:pStyle w:val="9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</w:rPr>
        <w:t>依据《玻璃纤维增强塑料渔船建造规范（2019）》，玻璃纤维增强塑料渔船船体构件的连接，可采用现场糊制、胶接、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A </w:t>
      </w:r>
      <w:r>
        <w:rPr>
          <w:rFonts w:hint="eastAsia"/>
          <w:szCs w:val="21"/>
        </w:rPr>
        <w:t>蒙皮连接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szCs w:val="21"/>
        </w:rPr>
        <w:t>搭接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szCs w:val="21"/>
        </w:rPr>
        <w:t>机械连接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szCs w:val="21"/>
        </w:rPr>
        <w:t>焊接</w:t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C</w:t>
      </w:r>
    </w:p>
    <w:p>
      <w:pPr>
        <w:pStyle w:val="9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</w:rPr>
        <w:t>依据《玻璃纤维增强塑料渔船建造规范（2019）》，船长小于</w:t>
      </w:r>
      <w:r>
        <w:rPr>
          <w:szCs w:val="21"/>
        </w:rPr>
        <w:t>12m</w:t>
      </w:r>
      <w:r>
        <w:rPr>
          <w:rFonts w:hint="eastAsia"/>
          <w:szCs w:val="21"/>
        </w:rPr>
        <w:t>的玻璃纤维增强塑料渔船，其顶蓬甲板的厚度，应不小于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2.5mm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3.0mm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3.5mm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4.0mm</w:t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B</w:t>
      </w:r>
    </w:p>
    <w:p>
      <w:pPr>
        <w:pStyle w:val="9"/>
        <w:numPr>
          <w:ilvl w:val="0"/>
          <w:numId w:val="1"/>
        </w:numPr>
        <w:ind w:firstLineChars="0"/>
        <w:rPr>
          <w:rFonts w:eastAsiaTheme="minorEastAsia"/>
          <w:szCs w:val="22"/>
          <w:u w:val="single"/>
        </w:rPr>
      </w:pPr>
      <w:r>
        <w:rPr>
          <w:rFonts w:hint="eastAsia"/>
          <w:szCs w:val="21"/>
        </w:rPr>
        <w:t>依据《玻璃纤维增强塑料渔船建造规范（2019）》，关于</w:t>
      </w:r>
      <w:r>
        <w:rPr>
          <w:szCs w:val="21"/>
        </w:rPr>
        <w:t>“</w:t>
      </w:r>
      <w:r>
        <w:rPr>
          <w:rFonts w:hint="eastAsia"/>
          <w:szCs w:val="21"/>
        </w:rPr>
        <w:t>舱室通风导管</w:t>
      </w:r>
      <w:r>
        <w:rPr>
          <w:szCs w:val="21"/>
        </w:rPr>
        <w:t>”</w:t>
      </w:r>
      <w:r>
        <w:rPr>
          <w:rFonts w:hint="eastAsia"/>
          <w:szCs w:val="21"/>
        </w:rPr>
        <w:t>的要求，下列选项错误的是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A </w:t>
      </w:r>
      <w:r>
        <w:rPr>
          <w:rFonts w:hint="eastAsia"/>
          <w:szCs w:val="21"/>
        </w:rPr>
        <w:t>舱室内的通风导管，可用钢或</w:t>
      </w:r>
      <w:r>
        <w:rPr>
          <w:szCs w:val="21"/>
        </w:rPr>
        <w:t>GFRP</w:t>
      </w:r>
      <w:r>
        <w:rPr>
          <w:rFonts w:hint="eastAsia"/>
          <w:szCs w:val="21"/>
        </w:rPr>
        <w:t>材料制造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GFRP</w:t>
      </w:r>
      <w:r>
        <w:rPr>
          <w:rFonts w:hint="eastAsia"/>
          <w:szCs w:val="21"/>
        </w:rPr>
        <w:t>通风导管穿过水密舱壁或甲板时，应与舱壁或甲板有效连接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GFRP</w:t>
      </w:r>
      <w:r>
        <w:rPr>
          <w:rFonts w:hint="eastAsia"/>
          <w:szCs w:val="21"/>
        </w:rPr>
        <w:t>通风导管穿过水密舱壁或甲板时，应并保证舱壁的水密完整性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szCs w:val="21"/>
        </w:rPr>
        <w:t>通风筒接管口可不设有风雨密关闭装置。</w:t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D</w:t>
      </w:r>
    </w:p>
    <w:p>
      <w:pPr>
        <w:pStyle w:val="9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</w:rPr>
        <w:t>依据《玻璃纤维增强塑料渔船建造规范（2019）》，关于汽油箱的设置，下列选项错误的是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A </w:t>
      </w:r>
      <w:r>
        <w:rPr>
          <w:rFonts w:hint="eastAsia"/>
          <w:szCs w:val="21"/>
        </w:rPr>
        <w:t>除安装舷内外机及尾挂机的船舶外，船上不得装设汽油箱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szCs w:val="21"/>
        </w:rPr>
        <w:t>除开敞舱室外，安装汽油箱的舱室中的电气部件应为防爆型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szCs w:val="21"/>
        </w:rPr>
        <w:t>便携式汽油箱的放置处应设有永久系固装置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szCs w:val="21"/>
        </w:rPr>
        <w:t>便携式汽油箱能在紧急情况下便于将其抛弃</w:t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C</w:t>
      </w:r>
    </w:p>
    <w:p>
      <w:pPr>
        <w:pStyle w:val="9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</w:rPr>
        <w:t>依据《玻璃纤维增强塑料渔船建造规范（2019）》，关于燃油管路的布置，下列选项错误的是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A </w:t>
      </w:r>
      <w:r>
        <w:rPr>
          <w:rFonts w:hint="eastAsia"/>
          <w:szCs w:val="21"/>
        </w:rPr>
        <w:t>燃油管路应适当予以夹紧和保护，以防损坏和不正常磨损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szCs w:val="21"/>
        </w:rPr>
        <w:t>燃油管路</w:t>
      </w:r>
      <w:r>
        <w:rPr>
          <w:rFonts w:hint="eastAsia"/>
          <w:szCs w:val="21"/>
          <w:lang w:val="en-US" w:eastAsia="zh-CN"/>
        </w:rPr>
        <w:t>应</w:t>
      </w:r>
      <w:r>
        <w:rPr>
          <w:rFonts w:hint="eastAsia"/>
          <w:szCs w:val="21"/>
        </w:rPr>
        <w:t>采用无缝钢管、无缝退火铜管、铜镍合金管或等效金属管制成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szCs w:val="21"/>
        </w:rPr>
        <w:t>燃油管路采用软管时，应选用耐火燃油软管，并应使用防滑金属软管夹使其固定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szCs w:val="21"/>
        </w:rPr>
        <w:t>舷外发动机的燃油软</w:t>
      </w:r>
      <w:r>
        <w:rPr>
          <w:rFonts w:hint="eastAsia"/>
          <w:szCs w:val="21"/>
          <w:lang w:val="en-US" w:eastAsia="zh-CN"/>
        </w:rPr>
        <w:t>不应</w:t>
      </w:r>
      <w:r>
        <w:rPr>
          <w:rFonts w:hint="eastAsia"/>
          <w:szCs w:val="21"/>
        </w:rPr>
        <w:t>采用非耐火燃油软管</w:t>
      </w:r>
    </w:p>
    <w:p>
      <w:pPr>
        <w:rPr>
          <w:rFonts w:hint="eastAsia" w:eastAsia="宋体"/>
          <w:szCs w:val="21"/>
          <w:lang w:eastAsia="zh-CN"/>
        </w:rPr>
      </w:pPr>
      <w:r>
        <w:rPr>
          <w:rFonts w:hint="eastAsia"/>
          <w:szCs w:val="21"/>
        </w:rPr>
        <w:t>答案：</w:t>
      </w:r>
      <w:r>
        <w:rPr>
          <w:rFonts w:hint="eastAsia"/>
          <w:szCs w:val="21"/>
          <w:lang w:val="en-US" w:eastAsia="zh-CN"/>
        </w:rPr>
        <w:t>D</w:t>
      </w:r>
      <w:bookmarkStart w:id="0" w:name="_GoBack"/>
      <w:bookmarkEnd w:id="0"/>
    </w:p>
    <w:p>
      <w:pPr>
        <w:pStyle w:val="9"/>
        <w:numPr>
          <w:ilvl w:val="0"/>
          <w:numId w:val="1"/>
        </w:numPr>
        <w:ind w:firstLineChars="0"/>
        <w:rPr>
          <w:rFonts w:eastAsiaTheme="minorEastAsia"/>
        </w:rPr>
      </w:pPr>
      <w:r>
        <w:rPr>
          <w:rFonts w:hint="eastAsia"/>
        </w:rPr>
        <w:t>依据《玻璃纤维增强塑料渔船建造规范（2019）》，渔船避雷装置的引下线应用连续的且截面积不小于</w:t>
      </w:r>
      <w:r>
        <w:rPr>
          <w:u w:val="single"/>
        </w:rPr>
        <w:t xml:space="preserve">    </w:t>
      </w:r>
      <w:r>
        <w:rPr>
          <w:rFonts w:hint="eastAsia"/>
        </w:rPr>
        <w:t>的铜排或铜索与接地板作可靠的连接。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50mm</w:t>
      </w:r>
      <w:r>
        <w:rPr>
          <w:szCs w:val="21"/>
          <w:vertAlign w:val="superscript"/>
        </w:rPr>
        <w:t>2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60mm</w:t>
      </w:r>
      <w:r>
        <w:rPr>
          <w:szCs w:val="21"/>
          <w:vertAlign w:val="superscript"/>
        </w:rPr>
        <w:t>2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65mm</w:t>
      </w:r>
      <w:r>
        <w:rPr>
          <w:szCs w:val="21"/>
          <w:vertAlign w:val="superscript"/>
        </w:rPr>
        <w:t>2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70mm</w:t>
      </w:r>
      <w:r>
        <w:rPr>
          <w:szCs w:val="21"/>
          <w:vertAlign w:val="superscript"/>
        </w:rPr>
        <w:t>2</w:t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D</w:t>
      </w:r>
    </w:p>
    <w:p>
      <w:pPr>
        <w:pStyle w:val="9"/>
        <w:numPr>
          <w:ilvl w:val="0"/>
          <w:numId w:val="1"/>
        </w:numPr>
        <w:ind w:firstLineChars="0"/>
        <w:rPr>
          <w:rFonts w:eastAsiaTheme="minorEastAsia" w:cstheme="minorBidi"/>
        </w:rPr>
      </w:pPr>
      <w:r>
        <w:rPr>
          <w:rFonts w:hint="eastAsia"/>
        </w:rPr>
        <w:t>依据《玻璃纤维增强塑料渔船建造规范（2019）》，关于玻璃钢渔船电气设备接地板要求的描述，</w:t>
      </w:r>
      <w:r>
        <w:rPr>
          <w:rFonts w:hint="eastAsia"/>
          <w:color w:val="auto"/>
        </w:rPr>
        <w:t>下列</w:t>
      </w:r>
      <w:r>
        <w:rPr>
          <w:rFonts w:hint="eastAsia"/>
          <w:color w:val="auto"/>
          <w:lang w:val="en-US" w:eastAsia="zh-CN"/>
        </w:rPr>
        <w:t>选项错误</w:t>
      </w:r>
      <w:r>
        <w:rPr>
          <w:rFonts w:hint="eastAsia"/>
          <w:color w:val="auto"/>
        </w:rPr>
        <w:t>的</w:t>
      </w:r>
      <w:r>
        <w:rPr>
          <w:rFonts w:hint="eastAsia"/>
        </w:rPr>
        <w:t>是</w:t>
      </w:r>
      <w:r>
        <w:rPr>
          <w:u w:val="single"/>
        </w:rPr>
        <w:t xml:space="preserve">    </w:t>
      </w:r>
      <w:r>
        <w:rPr>
          <w:rFonts w:hint="eastAsia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A </w:t>
      </w:r>
      <w:r>
        <w:rPr>
          <w:rFonts w:hint="eastAsia"/>
          <w:szCs w:val="21"/>
        </w:rPr>
        <w:t>接地板应固定在船舶各种状态下都能浸在水中的外板上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szCs w:val="21"/>
        </w:rPr>
        <w:t>应选用与接地板不同材质的螺钉或螺栓，均匀分布地将接地板固定在船壳外板上，且外表面应光滑平整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szCs w:val="21"/>
        </w:rPr>
        <w:t>接地板不应涂敷绝缘涂料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szCs w:val="21"/>
        </w:rPr>
        <w:t>接地板应具有有效的电化学防腐保护措施</w:t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B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7C0E70"/>
    <w:multiLevelType w:val="multilevel"/>
    <w:tmpl w:val="397C0E70"/>
    <w:lvl w:ilvl="0" w:tentative="0">
      <w:start w:val="1"/>
      <w:numFmt w:val="decimal"/>
      <w:lvlText w:val="%1."/>
      <w:lvlJc w:val="left"/>
      <w:pPr>
        <w:ind w:left="0" w:firstLine="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7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JjMTQ0ZTExYzk0ZmQwNmE3NTAyOTRmMzJlM2M3OWYifQ=="/>
  </w:docVars>
  <w:rsids>
    <w:rsidRoot w:val="009D77E3"/>
    <w:rsid w:val="000A55D9"/>
    <w:rsid w:val="000A745A"/>
    <w:rsid w:val="001100AA"/>
    <w:rsid w:val="00256B5F"/>
    <w:rsid w:val="00275CED"/>
    <w:rsid w:val="002D0D4E"/>
    <w:rsid w:val="00313547"/>
    <w:rsid w:val="00343B81"/>
    <w:rsid w:val="00363E4C"/>
    <w:rsid w:val="00371613"/>
    <w:rsid w:val="003867B1"/>
    <w:rsid w:val="00466757"/>
    <w:rsid w:val="005B5713"/>
    <w:rsid w:val="0068448C"/>
    <w:rsid w:val="00693B37"/>
    <w:rsid w:val="007E5A00"/>
    <w:rsid w:val="00923378"/>
    <w:rsid w:val="009D77E3"/>
    <w:rsid w:val="009F4FA0"/>
    <w:rsid w:val="00A67503"/>
    <w:rsid w:val="00A8685D"/>
    <w:rsid w:val="00B3438F"/>
    <w:rsid w:val="00BC780B"/>
    <w:rsid w:val="00C02AF8"/>
    <w:rsid w:val="00C35506"/>
    <w:rsid w:val="00D90071"/>
    <w:rsid w:val="00DE5E0C"/>
    <w:rsid w:val="00E7052B"/>
    <w:rsid w:val="00F240AB"/>
    <w:rsid w:val="00F325CA"/>
    <w:rsid w:val="00F83020"/>
    <w:rsid w:val="288211BA"/>
    <w:rsid w:val="55E444E0"/>
    <w:rsid w:val="7A3B7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paragraph" w:customStyle="1" w:styleId="10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1">
    <w:name w:val="批注框文本 字符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886</Words>
  <Characters>959</Characters>
  <Lines>7</Lines>
  <Paragraphs>2</Paragraphs>
  <TotalTime>17</TotalTime>
  <ScaleCrop>false</ScaleCrop>
  <LinksUpToDate>false</LinksUpToDate>
  <CharactersWithSpaces>1026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2023-07-21T06:03:00Z</dcterms:created>
  <dc:creator>姚静</dc:creator>
  <cp:lastModifiedBy>jsyj-ysc2</cp:lastModifiedBy>
  <dcterms:modified xsi:type="dcterms:W3CDTF">2023-09-15T02:08:12Z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515FEE8663CA4FE994327349A014AF26_12</vt:lpwstr>
  </property>
</Properties>
</file>